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5CA0" w14:textId="7D92EEE4" w:rsidR="002B4A77" w:rsidRPr="009C31D2" w:rsidRDefault="0047276B" w:rsidP="009C31D2">
      <w:pPr>
        <w:pStyle w:val="Title"/>
      </w:pPr>
      <w:r>
        <w:t>Australian</w:t>
      </w:r>
      <w:r w:rsidR="001F2325">
        <w:t xml:space="preserve"> Curriculum links </w:t>
      </w:r>
    </w:p>
    <w:p w14:paraId="19F128E4" w14:textId="1F8E2397" w:rsidR="005A20B8" w:rsidRPr="009C31D2" w:rsidRDefault="005E6E37">
      <w:bookmarkStart w:id="0" w:name="_GoBack"/>
      <w:bookmarkEnd w:id="0"/>
      <w:r>
        <w:rPr>
          <w:noProof/>
        </w:rPr>
        <mc:AlternateContent>
          <mc:Choice Requires="wps">
            <w:drawing>
              <wp:anchor distT="45720" distB="45720" distL="114300" distR="114300" simplePos="0" relativeHeight="251659264" behindDoc="0" locked="0" layoutInCell="1" allowOverlap="1" wp14:anchorId="303AC1D0" wp14:editId="2B9CFE2D">
                <wp:simplePos x="0" y="0"/>
                <wp:positionH relativeFrom="margin">
                  <wp:align>left</wp:align>
                </wp:positionH>
                <wp:positionV relativeFrom="paragraph">
                  <wp:posOffset>75565</wp:posOffset>
                </wp:positionV>
                <wp:extent cx="4724400" cy="504825"/>
                <wp:effectExtent l="0" t="0" r="1905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04825"/>
                        </a:xfrm>
                        <a:prstGeom prst="rect">
                          <a:avLst/>
                        </a:prstGeom>
                        <a:solidFill>
                          <a:schemeClr val="accent2"/>
                        </a:solidFill>
                        <a:ln w="9525">
                          <a:solidFill>
                            <a:srgbClr val="000000"/>
                          </a:solidFill>
                          <a:miter lim="800000"/>
                          <a:headEnd/>
                          <a:tailEnd/>
                        </a:ln>
                      </wps:spPr>
                      <wps:txbx>
                        <w:txbxContent>
                          <w:p w14:paraId="5E151D28" w14:textId="093C7200" w:rsidR="001F2325" w:rsidRPr="00F93C40" w:rsidRDefault="001F2325">
                            <w:pPr>
                              <w:rPr>
                                <w:sz w:val="48"/>
                                <w:szCs w:val="48"/>
                              </w:rPr>
                            </w:pPr>
                            <w:r w:rsidRPr="00F93C40">
                              <w:rPr>
                                <w:sz w:val="48"/>
                                <w:szCs w:val="48"/>
                              </w:rPr>
                              <w:t>Farmer Time</w:t>
                            </w:r>
                            <w:r w:rsidR="007B49DB" w:rsidRPr="00F93C40">
                              <w:rPr>
                                <w:sz w:val="48"/>
                                <w:szCs w:val="48"/>
                              </w:rPr>
                              <w:t>-</w:t>
                            </w:r>
                            <w:r w:rsidRPr="00F93C40">
                              <w:rPr>
                                <w:sz w:val="48"/>
                                <w:szCs w:val="48"/>
                              </w:rPr>
                              <w:t xml:space="preserve"> links to the </w:t>
                            </w:r>
                            <w:r w:rsidR="0047276B" w:rsidRPr="00F93C40">
                              <w:rPr>
                                <w:sz w:val="48"/>
                                <w:szCs w:val="48"/>
                              </w:rPr>
                              <w:t>Australian Curriculum</w:t>
                            </w:r>
                            <w:r w:rsidRPr="00F93C40">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AC1D0" id="_x0000_t202" coordsize="21600,21600" o:spt="202" path="m,l,21600r21600,l21600,xe">
                <v:stroke joinstyle="miter"/>
                <v:path gradientshapeok="t" o:connecttype="rect"/>
              </v:shapetype>
              <v:shape id="Text Box 2" o:spid="_x0000_s1026" type="#_x0000_t202" style="position:absolute;margin-left:0;margin-top:5.95pt;width:372pt;height:3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" fillcolor="#8e0334 [3205]">
                <v:textbox>
                  <w:txbxContent>
                    <w:p w14:paraId="5E151D28" w14:textId="093C7200" w:rsidR="001F2325" w:rsidRPr="00F93C40" w:rsidRDefault="001F2325">
                      <w:pPr>
                        <w:rPr>
                          <w:sz w:val="48"/>
                          <w:szCs w:val="48"/>
                        </w:rPr>
                      </w:pPr>
                      <w:r w:rsidRPr="00F93C40">
                        <w:rPr>
                          <w:sz w:val="48"/>
                          <w:szCs w:val="48"/>
                        </w:rPr>
                        <w:t>Farmer Time</w:t>
                      </w:r>
                      <w:r w:rsidR="007B49DB" w:rsidRPr="00F93C40">
                        <w:rPr>
                          <w:sz w:val="48"/>
                          <w:szCs w:val="48"/>
                        </w:rPr>
                        <w:t>-</w:t>
                      </w:r>
                      <w:r w:rsidRPr="00F93C40">
                        <w:rPr>
                          <w:sz w:val="48"/>
                          <w:szCs w:val="48"/>
                        </w:rPr>
                        <w:t xml:space="preserve"> links to the </w:t>
                      </w:r>
                      <w:r w:rsidR="0047276B" w:rsidRPr="00F93C40">
                        <w:rPr>
                          <w:sz w:val="48"/>
                          <w:szCs w:val="48"/>
                        </w:rPr>
                        <w:t>Australian Curriculum</w:t>
                      </w:r>
                      <w:r w:rsidRPr="00F93C40">
                        <w:rPr>
                          <w:sz w:val="48"/>
                          <w:szCs w:val="48"/>
                        </w:rPr>
                        <w:t xml:space="preserve">. </w:t>
                      </w:r>
                    </w:p>
                  </w:txbxContent>
                </v:textbox>
                <w10:wrap type="square" anchorx="margin"/>
              </v:shape>
            </w:pict>
          </mc:Fallback>
        </mc:AlternateContent>
      </w: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0" w:type="dxa"/>
          <w:right w:w="0" w:type="dxa"/>
        </w:tblCellMar>
        <w:tblLook w:val="0620" w:firstRow="1" w:lastRow="0" w:firstColumn="0" w:lastColumn="0" w:noHBand="1" w:noVBand="1"/>
      </w:tblPr>
      <w:tblGrid>
        <w:gridCol w:w="2405"/>
        <w:gridCol w:w="2693"/>
        <w:gridCol w:w="3544"/>
        <w:gridCol w:w="2977"/>
        <w:gridCol w:w="2771"/>
      </w:tblGrid>
      <w:tr w:rsidR="0012201E" w:rsidRPr="002B4A77" w14:paraId="2A5035DB" w14:textId="77777777" w:rsidTr="0012201E">
        <w:trPr>
          <w:trHeight w:val="680"/>
        </w:trPr>
        <w:tc>
          <w:tcPr>
            <w:tcW w:w="2405" w:type="dxa"/>
            <w:shd w:val="clear" w:color="auto" w:fill="014354" w:themeFill="accent5" w:themeFillShade="80"/>
            <w:tcMar>
              <w:top w:w="72" w:type="dxa"/>
              <w:left w:w="144" w:type="dxa"/>
              <w:bottom w:w="72" w:type="dxa"/>
              <w:right w:w="144" w:type="dxa"/>
            </w:tcMar>
            <w:vAlign w:val="center"/>
            <w:hideMark/>
          </w:tcPr>
          <w:p w14:paraId="53BA603C" w14:textId="1BC52BC0" w:rsidR="001F2325" w:rsidRPr="002B4A77" w:rsidRDefault="0047276B" w:rsidP="009C31D2">
            <w:pPr>
              <w:pStyle w:val="TaskTitle"/>
            </w:pPr>
            <w:r>
              <w:t>Content Strands</w:t>
            </w:r>
          </w:p>
        </w:tc>
        <w:tc>
          <w:tcPr>
            <w:tcW w:w="2693" w:type="dxa"/>
            <w:tcBorders>
              <w:right w:val="single" w:sz="4" w:space="0" w:color="auto"/>
            </w:tcBorders>
            <w:shd w:val="clear" w:color="auto" w:fill="0387A8" w:themeFill="accent5"/>
            <w:tcMar>
              <w:top w:w="72" w:type="dxa"/>
              <w:left w:w="72" w:type="dxa"/>
              <w:bottom w:w="72" w:type="dxa"/>
              <w:right w:w="72" w:type="dxa"/>
            </w:tcMar>
            <w:vAlign w:val="center"/>
            <w:hideMark/>
          </w:tcPr>
          <w:p w14:paraId="300ABA7C" w14:textId="1FF16CE3" w:rsidR="001F2325" w:rsidRPr="002B4A77" w:rsidRDefault="0047276B" w:rsidP="009C31D2">
            <w:pPr>
              <w:pStyle w:val="WeekDays"/>
            </w:pPr>
            <w:r>
              <w:t>Foundation</w:t>
            </w:r>
          </w:p>
        </w:tc>
        <w:tc>
          <w:tcPr>
            <w:tcW w:w="3544" w:type="dxa"/>
            <w:tcBorders>
              <w:left w:val="single" w:sz="4" w:space="0" w:color="auto"/>
            </w:tcBorders>
            <w:shd w:val="clear" w:color="auto" w:fill="0387A8" w:themeFill="accent5"/>
            <w:vAlign w:val="center"/>
          </w:tcPr>
          <w:p w14:paraId="66C0485B" w14:textId="70C5E50F" w:rsidR="001F2325" w:rsidRPr="002B4A77" w:rsidRDefault="0047276B" w:rsidP="009C31D2">
            <w:pPr>
              <w:pStyle w:val="WeekDays"/>
            </w:pPr>
            <w:r>
              <w:t>Years 1 and 2</w:t>
            </w:r>
          </w:p>
        </w:tc>
        <w:tc>
          <w:tcPr>
            <w:tcW w:w="2977" w:type="dxa"/>
            <w:shd w:val="clear" w:color="auto" w:fill="0387A8" w:themeFill="accent5"/>
            <w:tcMar>
              <w:top w:w="72" w:type="dxa"/>
              <w:left w:w="72" w:type="dxa"/>
              <w:bottom w:w="72" w:type="dxa"/>
              <w:right w:w="72" w:type="dxa"/>
            </w:tcMar>
            <w:vAlign w:val="center"/>
            <w:hideMark/>
          </w:tcPr>
          <w:p w14:paraId="26A0F4F9" w14:textId="497BF263" w:rsidR="001F2325" w:rsidRPr="002B4A77" w:rsidRDefault="0047276B" w:rsidP="009C31D2">
            <w:pPr>
              <w:pStyle w:val="WeekDays"/>
            </w:pPr>
            <w:r>
              <w:t>Years 3 and 4</w:t>
            </w:r>
          </w:p>
        </w:tc>
        <w:tc>
          <w:tcPr>
            <w:tcW w:w="2771" w:type="dxa"/>
            <w:shd w:val="clear" w:color="auto" w:fill="0387A8" w:themeFill="accent5"/>
            <w:tcMar>
              <w:top w:w="72" w:type="dxa"/>
              <w:left w:w="72" w:type="dxa"/>
              <w:bottom w:w="72" w:type="dxa"/>
              <w:right w:w="72" w:type="dxa"/>
            </w:tcMar>
            <w:vAlign w:val="center"/>
            <w:hideMark/>
          </w:tcPr>
          <w:p w14:paraId="07E2CAB4" w14:textId="51D944EC" w:rsidR="001F2325" w:rsidRPr="002B4A77" w:rsidRDefault="0047276B" w:rsidP="009C31D2">
            <w:pPr>
              <w:pStyle w:val="WeekDays"/>
            </w:pPr>
            <w:r>
              <w:t>Years 5 and 6</w:t>
            </w:r>
          </w:p>
        </w:tc>
      </w:tr>
      <w:tr w:rsidR="0012201E" w:rsidRPr="002B4A77" w14:paraId="0404355C" w14:textId="77777777" w:rsidTr="0012201E">
        <w:trPr>
          <w:trHeight w:val="1440"/>
        </w:trPr>
        <w:tc>
          <w:tcPr>
            <w:tcW w:w="2405" w:type="dxa"/>
            <w:shd w:val="clear" w:color="auto" w:fill="FFFFFF" w:themeFill="background1"/>
            <w:tcMar>
              <w:top w:w="72" w:type="dxa"/>
              <w:left w:w="144" w:type="dxa"/>
              <w:bottom w:w="72" w:type="dxa"/>
              <w:right w:w="144" w:type="dxa"/>
            </w:tcMar>
            <w:vAlign w:val="center"/>
          </w:tcPr>
          <w:p w14:paraId="622EE640" w14:textId="6B816570" w:rsidR="001F2325" w:rsidRPr="0012201E" w:rsidRDefault="005E6E37" w:rsidP="0012201E">
            <w:pPr>
              <w:pStyle w:val="WeekDays"/>
              <w:rPr>
                <w:color w:val="auto"/>
                <w:sz w:val="48"/>
                <w:szCs w:val="48"/>
              </w:rPr>
            </w:pPr>
            <w:r w:rsidRPr="0012201E">
              <w:rPr>
                <w:color w:val="auto"/>
                <w:sz w:val="48"/>
                <w:szCs w:val="48"/>
              </w:rPr>
              <w:t>Scienc</w:t>
            </w:r>
            <w:r w:rsidR="0047276B" w:rsidRPr="0012201E">
              <w:rPr>
                <w:color w:val="auto"/>
                <w:sz w:val="48"/>
                <w:szCs w:val="48"/>
              </w:rPr>
              <w:t>e and Technology</w:t>
            </w:r>
          </w:p>
        </w:tc>
        <w:tc>
          <w:tcPr>
            <w:tcW w:w="2693" w:type="dxa"/>
            <w:tcBorders>
              <w:right w:val="single" w:sz="4" w:space="0" w:color="auto"/>
            </w:tcBorders>
            <w:shd w:val="clear" w:color="auto" w:fill="FFFFFF" w:themeFill="background1"/>
            <w:tcMar>
              <w:top w:w="72" w:type="dxa"/>
              <w:left w:w="72" w:type="dxa"/>
              <w:bottom w:w="72" w:type="dxa"/>
              <w:right w:w="72" w:type="dxa"/>
            </w:tcMar>
            <w:vAlign w:val="center"/>
          </w:tcPr>
          <w:p w14:paraId="19C29D85" w14:textId="77777777" w:rsidR="0047276B" w:rsidRPr="00D549FC" w:rsidRDefault="0047276B" w:rsidP="0047276B">
            <w:pPr>
              <w:rPr>
                <w:rFonts w:ascii="Arial" w:hAnsi="Arial" w:cs="Arial"/>
              </w:rPr>
            </w:pPr>
            <w:r w:rsidRPr="00D549FC">
              <w:rPr>
                <w:rFonts w:ascii="Arial" w:hAnsi="Arial" w:cs="Arial"/>
              </w:rPr>
              <w:t>Living things have basic needs, including food and water</w:t>
            </w:r>
            <w:r>
              <w:rPr>
                <w:rFonts w:ascii="Arial" w:hAnsi="Arial" w:cs="Arial"/>
              </w:rPr>
              <w:t xml:space="preserve"> </w:t>
            </w:r>
            <w:r w:rsidRPr="00D549FC">
              <w:rPr>
                <w:rFonts w:ascii="Arial" w:hAnsi="Arial" w:cs="Arial"/>
              </w:rPr>
              <w:t>ACSSU002</w:t>
            </w:r>
            <w:r w:rsidRPr="00D549FC">
              <w:rPr>
                <w:rFonts w:ascii="Arial" w:hAnsi="Arial" w:cs="Arial"/>
              </w:rPr>
              <w:tab/>
            </w:r>
            <w:r w:rsidRPr="00D549FC">
              <w:rPr>
                <w:rFonts w:ascii="Arial" w:hAnsi="Arial" w:cs="Arial"/>
              </w:rPr>
              <w:tab/>
            </w:r>
          </w:p>
          <w:p w14:paraId="5A21ADCA" w14:textId="77777777" w:rsidR="0047276B" w:rsidRDefault="0047276B" w:rsidP="0047276B">
            <w:pPr>
              <w:rPr>
                <w:rFonts w:ascii="Arial" w:hAnsi="Arial" w:cs="Arial"/>
              </w:rPr>
            </w:pPr>
            <w:r w:rsidRPr="00D549FC">
              <w:rPr>
                <w:rFonts w:ascii="Arial" w:hAnsi="Arial" w:cs="Arial"/>
              </w:rPr>
              <w:t>Living things have structural features and adaptations that help them to survive in their environment</w:t>
            </w:r>
            <w:r>
              <w:rPr>
                <w:rFonts w:ascii="Arial" w:hAnsi="Arial" w:cs="Arial"/>
              </w:rPr>
              <w:t xml:space="preserve"> </w:t>
            </w:r>
            <w:r w:rsidRPr="00D549FC">
              <w:rPr>
                <w:rFonts w:ascii="Arial" w:hAnsi="Arial" w:cs="Arial"/>
              </w:rPr>
              <w:t>ACSSU043</w:t>
            </w:r>
          </w:p>
          <w:p w14:paraId="3C442155" w14:textId="77777777" w:rsidR="001F2325" w:rsidRPr="002B4A77" w:rsidRDefault="001F2325" w:rsidP="002B4A77">
            <w:pPr>
              <w:spacing w:after="0"/>
              <w:rPr>
                <w:b/>
                <w:bCs/>
                <w:color w:val="FFFFFF" w:themeColor="background1"/>
              </w:rPr>
            </w:pPr>
          </w:p>
        </w:tc>
        <w:tc>
          <w:tcPr>
            <w:tcW w:w="3544" w:type="dxa"/>
            <w:tcBorders>
              <w:left w:val="single" w:sz="4" w:space="0" w:color="auto"/>
            </w:tcBorders>
            <w:shd w:val="clear" w:color="auto" w:fill="FFFFFF" w:themeFill="background1"/>
            <w:vAlign w:val="center"/>
          </w:tcPr>
          <w:p w14:paraId="48C890B7" w14:textId="77777777" w:rsidR="0047276B" w:rsidRDefault="0047276B" w:rsidP="0047276B">
            <w:pPr>
              <w:rPr>
                <w:rFonts w:ascii="Arial" w:hAnsi="Arial" w:cs="Arial"/>
              </w:rPr>
            </w:pPr>
            <w:r w:rsidRPr="00D549FC">
              <w:rPr>
                <w:rFonts w:ascii="Arial" w:hAnsi="Arial" w:cs="Arial"/>
              </w:rPr>
              <w:t>Living things have a variety of external features</w:t>
            </w:r>
            <w:r>
              <w:rPr>
                <w:rFonts w:ascii="Arial" w:hAnsi="Arial" w:cs="Arial"/>
              </w:rPr>
              <w:t xml:space="preserve"> </w:t>
            </w:r>
            <w:r w:rsidRPr="00D549FC">
              <w:rPr>
                <w:rFonts w:ascii="Arial" w:hAnsi="Arial" w:cs="Arial"/>
              </w:rPr>
              <w:t>ACSSU017</w:t>
            </w:r>
          </w:p>
          <w:p w14:paraId="51649771" w14:textId="3E8DBABE" w:rsidR="0047276B" w:rsidRPr="00385C61" w:rsidRDefault="0047276B" w:rsidP="0047276B">
            <w:pPr>
              <w:rPr>
                <w:rFonts w:ascii="Arial" w:hAnsi="Arial" w:cs="Arial"/>
              </w:rPr>
            </w:pPr>
            <w:r w:rsidRPr="00385C61">
              <w:rPr>
                <w:rFonts w:ascii="Arial" w:hAnsi="Arial" w:cs="Arial"/>
                <w:color w:val="222222"/>
                <w:sz w:val="21"/>
                <w:szCs w:val="21"/>
              </w:rPr>
              <w:t>People use science in their daily lives, including when caring for their </w:t>
            </w:r>
            <w:r w:rsidRPr="00385C61">
              <w:rPr>
                <w:rFonts w:ascii="Arial" w:hAnsi="Arial" w:cs="Arial"/>
              </w:rPr>
              <w:t>environment</w:t>
            </w:r>
            <w:r w:rsidRPr="00385C61">
              <w:rPr>
                <w:rFonts w:ascii="Arial" w:hAnsi="Arial" w:cs="Arial"/>
                <w:color w:val="222222"/>
                <w:sz w:val="21"/>
                <w:szCs w:val="21"/>
              </w:rPr>
              <w:t> and living things </w:t>
            </w:r>
            <w:hyperlink r:id="rId10" w:tgtFrame="_blank" w:history="1">
              <w:r w:rsidRPr="0047276B">
                <w:rPr>
                  <w:rStyle w:val="Hyperlink"/>
                  <w:rFonts w:ascii="Arial" w:hAnsi="Arial" w:cs="Arial"/>
                  <w:color w:val="auto"/>
                  <w:sz w:val="21"/>
                  <w:szCs w:val="21"/>
                  <w:u w:val="none"/>
                </w:rPr>
                <w:t>ACSHE022</w:t>
              </w:r>
            </w:hyperlink>
            <w:r>
              <w:rPr>
                <w:rStyle w:val="Hyperlink"/>
                <w:rFonts w:ascii="Arial" w:hAnsi="Arial" w:cs="Arial"/>
                <w:color w:val="auto"/>
                <w:sz w:val="21"/>
                <w:szCs w:val="21"/>
                <w:u w:val="none"/>
              </w:rPr>
              <w:t>,</w:t>
            </w:r>
            <w:r>
              <w:rPr>
                <w:rStyle w:val="Hyperlink"/>
                <w:sz w:val="21"/>
                <w:szCs w:val="21"/>
              </w:rPr>
              <w:t xml:space="preserve"> </w:t>
            </w:r>
            <w:hyperlink r:id="rId11" w:tgtFrame="_blank" w:history="1">
              <w:r w:rsidRPr="0047276B">
                <w:rPr>
                  <w:rStyle w:val="Hyperlink"/>
                  <w:rFonts w:ascii="Arial" w:hAnsi="Arial" w:cs="Arial"/>
                  <w:color w:val="auto"/>
                  <w:u w:val="none"/>
                </w:rPr>
                <w:t>ACSHE035 </w:t>
              </w:r>
            </w:hyperlink>
          </w:p>
          <w:p w14:paraId="3817519E" w14:textId="152319A5" w:rsidR="0047276B" w:rsidRPr="004A7162" w:rsidRDefault="0047276B" w:rsidP="0047276B">
            <w:pPr>
              <w:rPr>
                <w:rFonts w:ascii="Arial" w:hAnsi="Arial" w:cs="Arial"/>
              </w:rPr>
            </w:pPr>
            <w:r w:rsidRPr="00942013">
              <w:rPr>
                <w:rFonts w:ascii="Arial" w:hAnsi="Arial" w:cs="Arial"/>
              </w:rPr>
              <w:t>Living things live in different places where their needs are met ACSSU211</w:t>
            </w:r>
            <w:r w:rsidRPr="00942013">
              <w:rPr>
                <w:rFonts w:ascii="Arial" w:hAnsi="Arial" w:cs="Arial"/>
              </w:rPr>
              <w:tab/>
            </w:r>
          </w:p>
          <w:p w14:paraId="129AA42E" w14:textId="77777777" w:rsidR="0047276B" w:rsidRDefault="0047276B" w:rsidP="0047276B">
            <w:pPr>
              <w:rPr>
                <w:rFonts w:ascii="Arial" w:hAnsi="Arial" w:cs="Arial"/>
              </w:rPr>
            </w:pPr>
            <w:r w:rsidRPr="00942013">
              <w:rPr>
                <w:rFonts w:ascii="Arial" w:hAnsi="Arial" w:cs="Arial"/>
              </w:rPr>
              <w:t xml:space="preserve">Living things grow, change and have offspring </w:t>
            </w:r>
            <w:proofErr w:type="gramStart"/>
            <w:r w:rsidRPr="00942013">
              <w:rPr>
                <w:rFonts w:ascii="Arial" w:hAnsi="Arial" w:cs="Arial"/>
              </w:rPr>
              <w:t>similar to</w:t>
            </w:r>
            <w:proofErr w:type="gramEnd"/>
            <w:r w:rsidRPr="00942013">
              <w:rPr>
                <w:rFonts w:ascii="Arial" w:hAnsi="Arial" w:cs="Arial"/>
              </w:rPr>
              <w:t xml:space="preserve"> themselves ACSSU030</w:t>
            </w:r>
          </w:p>
          <w:p w14:paraId="519942AA" w14:textId="77777777" w:rsidR="0047276B" w:rsidRPr="00942013" w:rsidRDefault="0047276B" w:rsidP="0047276B">
            <w:pPr>
              <w:rPr>
                <w:rFonts w:ascii="Arial" w:hAnsi="Arial" w:cs="Arial"/>
              </w:rPr>
            </w:pPr>
            <w:r w:rsidRPr="00A839B4">
              <w:rPr>
                <w:rFonts w:ascii="Arial" w:hAnsi="Arial" w:cs="Arial"/>
              </w:rPr>
              <w:t>Explore how plants and animals are grown for food, clothing, and shelter and how food is selected and prepared for healthy eating ACTDEK003</w:t>
            </w:r>
          </w:p>
          <w:p w14:paraId="1579E652" w14:textId="77777777" w:rsidR="001F2325" w:rsidRPr="002B4A77" w:rsidRDefault="001F2325" w:rsidP="001F2325">
            <w:pPr>
              <w:rPr>
                <w:b/>
                <w:bCs/>
                <w:color w:val="FFFFFF" w:themeColor="background1"/>
              </w:rPr>
            </w:pPr>
          </w:p>
        </w:tc>
        <w:tc>
          <w:tcPr>
            <w:tcW w:w="2977" w:type="dxa"/>
            <w:shd w:val="clear" w:color="auto" w:fill="FFFFFF" w:themeFill="background1"/>
            <w:tcMar>
              <w:top w:w="72" w:type="dxa"/>
              <w:left w:w="72" w:type="dxa"/>
              <w:bottom w:w="72" w:type="dxa"/>
              <w:right w:w="72" w:type="dxa"/>
            </w:tcMar>
            <w:vAlign w:val="center"/>
          </w:tcPr>
          <w:p w14:paraId="182D3808" w14:textId="0DA1CB4A" w:rsidR="0047276B" w:rsidRPr="00942013" w:rsidRDefault="0047276B" w:rsidP="0047276B">
            <w:pPr>
              <w:rPr>
                <w:rFonts w:ascii="Arial" w:hAnsi="Arial" w:cs="Arial"/>
              </w:rPr>
            </w:pPr>
            <w:r w:rsidRPr="00942013">
              <w:rPr>
                <w:rFonts w:ascii="Arial" w:hAnsi="Arial" w:cs="Arial"/>
                <w:color w:val="222222"/>
              </w:rPr>
              <w:t>Science knowledge helps people to understand the effect of their actions </w:t>
            </w:r>
            <w:hyperlink r:id="rId12" w:tgtFrame="_blank" w:history="1">
              <w:r w:rsidRPr="0047276B">
                <w:rPr>
                  <w:rStyle w:val="Hyperlink"/>
                  <w:rFonts w:ascii="Arial" w:hAnsi="Arial" w:cs="Arial"/>
                  <w:color w:val="auto"/>
                  <w:u w:val="none"/>
                </w:rPr>
                <w:t>ACSHE051</w:t>
              </w:r>
            </w:hyperlink>
            <w:r w:rsidRPr="0047276B">
              <w:rPr>
                <w:rStyle w:val="Hyperlink"/>
                <w:rFonts w:ascii="Arial" w:hAnsi="Arial" w:cs="Arial"/>
                <w:color w:val="auto"/>
                <w:u w:val="none"/>
              </w:rPr>
              <w:t>,</w:t>
            </w:r>
            <w:r w:rsidRPr="0047276B">
              <w:rPr>
                <w:rStyle w:val="Hyperlink"/>
                <w:color w:val="auto"/>
              </w:rPr>
              <w:t xml:space="preserve"> </w:t>
            </w:r>
            <w:r w:rsidRPr="00942013">
              <w:rPr>
                <w:rFonts w:ascii="Arial" w:hAnsi="Arial" w:cs="Arial"/>
              </w:rPr>
              <w:t>ACSHE062</w:t>
            </w:r>
          </w:p>
          <w:p w14:paraId="19CB547D" w14:textId="77777777" w:rsidR="0047276B" w:rsidRPr="00942013" w:rsidRDefault="0047276B" w:rsidP="0047276B">
            <w:pPr>
              <w:rPr>
                <w:rFonts w:ascii="Arial" w:hAnsi="Arial" w:cs="Arial"/>
              </w:rPr>
            </w:pPr>
            <w:r w:rsidRPr="0084439E">
              <w:rPr>
                <w:rFonts w:ascii="Arial" w:hAnsi="Arial" w:cs="Arial"/>
              </w:rPr>
              <w:t>Investigate food and fibre production and food technologies used in modern and traditional societies ACTDEK012</w:t>
            </w:r>
          </w:p>
          <w:p w14:paraId="45F3D88F" w14:textId="77777777" w:rsidR="0047276B" w:rsidRPr="00942013" w:rsidRDefault="0047276B" w:rsidP="0047276B">
            <w:pPr>
              <w:rPr>
                <w:rFonts w:ascii="Arial" w:hAnsi="Arial" w:cs="Arial"/>
              </w:rPr>
            </w:pPr>
            <w:r w:rsidRPr="00942013">
              <w:rPr>
                <w:rFonts w:ascii="Arial" w:hAnsi="Arial" w:cs="Arial"/>
                <w:color w:val="222222"/>
              </w:rPr>
              <w:t>Natural and </w:t>
            </w:r>
            <w:r w:rsidRPr="00942013">
              <w:rPr>
                <w:rFonts w:ascii="Arial" w:hAnsi="Arial" w:cs="Arial"/>
              </w:rPr>
              <w:t>processed materials</w:t>
            </w:r>
            <w:r w:rsidRPr="00942013">
              <w:rPr>
                <w:rFonts w:ascii="Arial" w:hAnsi="Arial" w:cs="Arial"/>
                <w:color w:val="222222"/>
              </w:rPr>
              <w:t> have a range of physical properties that can influence their use </w:t>
            </w:r>
            <w:hyperlink r:id="rId13" w:tgtFrame="_blank" w:history="1">
              <w:r w:rsidRPr="0047276B">
                <w:rPr>
                  <w:rStyle w:val="Hyperlink"/>
                  <w:rFonts w:ascii="Arial" w:hAnsi="Arial" w:cs="Arial"/>
                  <w:color w:val="auto"/>
                  <w:u w:val="none"/>
                </w:rPr>
                <w:t>ACSSU074 </w:t>
              </w:r>
            </w:hyperlink>
          </w:p>
          <w:p w14:paraId="1CBF8BEE" w14:textId="0FD5BB2A" w:rsidR="001F2325" w:rsidRPr="002B4A77" w:rsidRDefault="001F2325" w:rsidP="0047276B">
            <w:pPr>
              <w:rPr>
                <w:b/>
                <w:bCs/>
                <w:color w:val="FFFFFF" w:themeColor="background1"/>
              </w:rPr>
            </w:pPr>
          </w:p>
        </w:tc>
        <w:tc>
          <w:tcPr>
            <w:tcW w:w="2771" w:type="dxa"/>
            <w:shd w:val="clear" w:color="auto" w:fill="FFFFFF" w:themeFill="background1"/>
            <w:tcMar>
              <w:top w:w="72" w:type="dxa"/>
              <w:left w:w="72" w:type="dxa"/>
              <w:bottom w:w="72" w:type="dxa"/>
              <w:right w:w="72" w:type="dxa"/>
            </w:tcMar>
            <w:vAlign w:val="center"/>
          </w:tcPr>
          <w:p w14:paraId="09C96185" w14:textId="42370517" w:rsidR="0047276B" w:rsidRPr="0047276B" w:rsidRDefault="0047276B" w:rsidP="0047276B">
            <w:pPr>
              <w:rPr>
                <w:rFonts w:ascii="Arial" w:hAnsi="Arial" w:cs="Arial"/>
              </w:rPr>
            </w:pPr>
            <w:r w:rsidRPr="0084439E">
              <w:rPr>
                <w:rFonts w:ascii="Arial" w:hAnsi="Arial" w:cs="Arial"/>
              </w:rPr>
              <w:t>Living things have structural features and adaptations that help them to survive in their environment ACSSU043</w:t>
            </w:r>
          </w:p>
          <w:p w14:paraId="0DAED847" w14:textId="77777777" w:rsidR="0047276B" w:rsidRPr="00A839B4" w:rsidRDefault="0047276B" w:rsidP="0047276B">
            <w:pPr>
              <w:rPr>
                <w:rFonts w:ascii="Arial" w:hAnsi="Arial" w:cs="Arial"/>
              </w:rPr>
            </w:pPr>
            <w:r w:rsidRPr="00D549FC">
              <w:rPr>
                <w:rFonts w:ascii="Arial" w:hAnsi="Arial" w:cs="Arial"/>
              </w:rPr>
              <w:t>Investigate how and why food and fibre are produced in managed environments and prepared to enable people to grow and be healthy</w:t>
            </w:r>
            <w:r>
              <w:rPr>
                <w:rFonts w:ascii="Arial" w:hAnsi="Arial" w:cs="Arial"/>
              </w:rPr>
              <w:t xml:space="preserve"> A</w:t>
            </w:r>
            <w:r w:rsidRPr="00D549FC">
              <w:rPr>
                <w:rFonts w:ascii="Arial" w:hAnsi="Arial" w:cs="Arial"/>
              </w:rPr>
              <w:t>CTDEK021</w:t>
            </w:r>
          </w:p>
          <w:p w14:paraId="07ABCEAC" w14:textId="77777777" w:rsidR="0047276B" w:rsidRDefault="0047276B" w:rsidP="0047276B">
            <w:pPr>
              <w:rPr>
                <w:rFonts w:ascii="Arial" w:hAnsi="Arial" w:cs="Arial"/>
              </w:rPr>
            </w:pPr>
            <w:r w:rsidRPr="00942013">
              <w:rPr>
                <w:rFonts w:ascii="Arial" w:hAnsi="Arial" w:cs="Arial"/>
              </w:rPr>
              <w:t>Scientific knowledge is used to solve problems and inform personal and community decision ACSHE098</w:t>
            </w:r>
          </w:p>
          <w:p w14:paraId="65245CC5" w14:textId="77777777" w:rsidR="0047276B" w:rsidRPr="00942013" w:rsidRDefault="0047276B" w:rsidP="0047276B">
            <w:pPr>
              <w:rPr>
                <w:rFonts w:ascii="Arial" w:hAnsi="Arial" w:cs="Arial"/>
              </w:rPr>
            </w:pPr>
            <w:r w:rsidRPr="00942013">
              <w:rPr>
                <w:rFonts w:ascii="Arial" w:hAnsi="Arial" w:cs="Arial"/>
              </w:rPr>
              <w:t>The growth and survival of living things are affected by physical conditions of their environment ACSSU094</w:t>
            </w:r>
          </w:p>
          <w:p w14:paraId="7B67D8F6" w14:textId="77777777" w:rsidR="001F2325" w:rsidRPr="002B4A77" w:rsidRDefault="001F2325" w:rsidP="002B4A77">
            <w:pPr>
              <w:spacing w:after="0"/>
              <w:rPr>
                <w:b/>
                <w:bCs/>
                <w:color w:val="FFFFFF" w:themeColor="background1"/>
              </w:rPr>
            </w:pPr>
          </w:p>
        </w:tc>
      </w:tr>
      <w:tr w:rsidR="0012201E" w:rsidRPr="002B4A77" w14:paraId="76A6F029" w14:textId="77777777" w:rsidTr="0012201E">
        <w:trPr>
          <w:trHeight w:val="1440"/>
        </w:trPr>
        <w:tc>
          <w:tcPr>
            <w:tcW w:w="2405" w:type="dxa"/>
            <w:shd w:val="clear" w:color="auto" w:fill="FFFFFF" w:themeFill="background1"/>
            <w:tcMar>
              <w:top w:w="72" w:type="dxa"/>
              <w:left w:w="144" w:type="dxa"/>
              <w:bottom w:w="72" w:type="dxa"/>
              <w:right w:w="144" w:type="dxa"/>
            </w:tcMar>
            <w:vAlign w:val="center"/>
          </w:tcPr>
          <w:p w14:paraId="2FB65529" w14:textId="34485B9F" w:rsidR="0047276B" w:rsidRPr="0012201E" w:rsidRDefault="0047276B" w:rsidP="0047276B">
            <w:pPr>
              <w:spacing w:after="0"/>
              <w:rPr>
                <w:b/>
                <w:bCs/>
                <w:sz w:val="48"/>
                <w:szCs w:val="48"/>
              </w:rPr>
            </w:pPr>
            <w:r w:rsidRPr="0012201E">
              <w:rPr>
                <w:b/>
                <w:bCs/>
                <w:sz w:val="48"/>
                <w:szCs w:val="48"/>
              </w:rPr>
              <w:lastRenderedPageBreak/>
              <w:t xml:space="preserve">HASS- </w:t>
            </w:r>
            <w:r w:rsidRPr="0012201E">
              <w:rPr>
                <w:b/>
                <w:bCs/>
                <w:sz w:val="48"/>
                <w:szCs w:val="48"/>
              </w:rPr>
              <w:t>Geography</w:t>
            </w:r>
          </w:p>
          <w:p w14:paraId="307FAADE" w14:textId="762C1C7E" w:rsidR="001F2325" w:rsidRPr="005E6E37" w:rsidRDefault="001F2325" w:rsidP="005E6E37">
            <w:pPr>
              <w:pStyle w:val="WeekDays"/>
              <w:jc w:val="left"/>
              <w:rPr>
                <w:color w:val="auto"/>
              </w:rPr>
            </w:pPr>
          </w:p>
        </w:tc>
        <w:tc>
          <w:tcPr>
            <w:tcW w:w="2693" w:type="dxa"/>
            <w:tcBorders>
              <w:right w:val="single" w:sz="4" w:space="0" w:color="auto"/>
            </w:tcBorders>
            <w:shd w:val="clear" w:color="auto" w:fill="FFFFFF" w:themeFill="background1"/>
            <w:tcMar>
              <w:top w:w="72" w:type="dxa"/>
              <w:left w:w="72" w:type="dxa"/>
              <w:bottom w:w="72" w:type="dxa"/>
              <w:right w:w="72" w:type="dxa"/>
            </w:tcMar>
            <w:vAlign w:val="center"/>
          </w:tcPr>
          <w:p w14:paraId="608AED4A" w14:textId="77777777" w:rsidR="0047276B" w:rsidRDefault="0047276B" w:rsidP="0047276B">
            <w:pPr>
              <w:rPr>
                <w:rFonts w:ascii="Arial" w:hAnsi="Arial" w:cs="Arial"/>
              </w:rPr>
            </w:pPr>
            <w:r w:rsidRPr="00F62C43">
              <w:rPr>
                <w:rFonts w:ascii="Arial" w:hAnsi="Arial" w:cs="Arial"/>
              </w:rPr>
              <w:t>The places people live in and belong to, their familiar features and why they are important to people ACHASSK015</w:t>
            </w:r>
          </w:p>
          <w:p w14:paraId="4CBE0C75" w14:textId="77777777" w:rsidR="0047276B" w:rsidRDefault="0047276B" w:rsidP="0047276B">
            <w:pPr>
              <w:rPr>
                <w:rFonts w:ascii="Arial" w:hAnsi="Arial" w:cs="Arial"/>
              </w:rPr>
            </w:pPr>
            <w:r w:rsidRPr="00F62C43">
              <w:rPr>
                <w:rFonts w:ascii="Arial" w:hAnsi="Arial" w:cs="Arial"/>
              </w:rPr>
              <w:t>The reasons why some places are special to people, and how they can be looked after ACHASSK017</w:t>
            </w:r>
          </w:p>
          <w:p w14:paraId="2CCAD314" w14:textId="77777777" w:rsidR="001F2325" w:rsidRPr="002B4A77" w:rsidRDefault="001F2325" w:rsidP="002B4A77">
            <w:pPr>
              <w:spacing w:after="0"/>
              <w:rPr>
                <w:b/>
                <w:bCs/>
                <w:color w:val="FFFFFF" w:themeColor="background1"/>
              </w:rPr>
            </w:pPr>
          </w:p>
        </w:tc>
        <w:tc>
          <w:tcPr>
            <w:tcW w:w="3544" w:type="dxa"/>
            <w:tcBorders>
              <w:left w:val="single" w:sz="4" w:space="0" w:color="auto"/>
            </w:tcBorders>
            <w:shd w:val="clear" w:color="auto" w:fill="FFFFFF" w:themeFill="background1"/>
            <w:vAlign w:val="center"/>
          </w:tcPr>
          <w:p w14:paraId="7658E5DE" w14:textId="77777777" w:rsidR="0047276B" w:rsidRDefault="0047276B" w:rsidP="0047276B">
            <w:pPr>
              <w:rPr>
                <w:rFonts w:ascii="Arial" w:hAnsi="Arial" w:cs="Arial"/>
              </w:rPr>
            </w:pPr>
            <w:r w:rsidRPr="00F62C43">
              <w:rPr>
                <w:rFonts w:ascii="Arial" w:hAnsi="Arial" w:cs="Arial"/>
              </w:rPr>
              <w:t>The natural, managed and constructed features of places, their location, how they change and how they can be cared for ACHASSK031</w:t>
            </w:r>
          </w:p>
          <w:p w14:paraId="421BF07E" w14:textId="569B9C39" w:rsidR="0047276B" w:rsidRPr="0047276B" w:rsidRDefault="0047276B" w:rsidP="0047276B">
            <w:pPr>
              <w:rPr>
                <w:rFonts w:ascii="Arial" w:hAnsi="Arial" w:cs="Arial"/>
              </w:rPr>
            </w:pPr>
            <w:r w:rsidRPr="00F62C43">
              <w:rPr>
                <w:rFonts w:ascii="Arial" w:hAnsi="Arial" w:cs="Arial"/>
              </w:rPr>
              <w:t>The weather and seasons of places and the ways in which different cultural groups, including Aboriginal and Torres Strait Islander Peoples, describe them ACHASSK032</w:t>
            </w:r>
          </w:p>
          <w:p w14:paraId="44E5EB8A" w14:textId="77777777" w:rsidR="0047276B" w:rsidRDefault="0047276B" w:rsidP="0047276B">
            <w:pPr>
              <w:rPr>
                <w:rFonts w:ascii="Arial" w:hAnsi="Arial" w:cs="Arial"/>
              </w:rPr>
            </w:pPr>
            <w:r w:rsidRPr="00F62C43">
              <w:rPr>
                <w:rFonts w:ascii="Arial" w:hAnsi="Arial" w:cs="Arial"/>
              </w:rPr>
              <w:t>The idea that places are parts of Earth’s surface that have been named by people, and how places can be defined at a variety of scales ACHASSK048</w:t>
            </w:r>
            <w:r w:rsidRPr="00942013">
              <w:rPr>
                <w:rFonts w:ascii="Arial" w:hAnsi="Arial" w:cs="Arial"/>
              </w:rPr>
              <w:tab/>
            </w:r>
          </w:p>
          <w:p w14:paraId="4389D7D6" w14:textId="77777777" w:rsidR="0047276B" w:rsidRPr="0016351A" w:rsidRDefault="0047276B" w:rsidP="0047276B">
            <w:pPr>
              <w:rPr>
                <w:rFonts w:ascii="Arial" w:hAnsi="Arial" w:cs="Arial"/>
              </w:rPr>
            </w:pPr>
            <w:r w:rsidRPr="00F62C43">
              <w:rPr>
                <w:rFonts w:ascii="Arial" w:hAnsi="Arial" w:cs="Arial"/>
              </w:rPr>
              <w:t>The connections of people in Australia to people in other places in Australia and across the world ACHASSK050</w:t>
            </w:r>
          </w:p>
          <w:p w14:paraId="2EC39E78" w14:textId="77777777" w:rsidR="001F2325" w:rsidRPr="002B4A77" w:rsidRDefault="001F2325" w:rsidP="002B4A77">
            <w:pPr>
              <w:spacing w:after="0"/>
              <w:rPr>
                <w:b/>
                <w:bCs/>
                <w:color w:val="FFFFFF" w:themeColor="background1"/>
              </w:rPr>
            </w:pPr>
          </w:p>
        </w:tc>
        <w:tc>
          <w:tcPr>
            <w:tcW w:w="2977" w:type="dxa"/>
            <w:shd w:val="clear" w:color="auto" w:fill="FFFFFF" w:themeFill="background1"/>
            <w:tcMar>
              <w:top w:w="72" w:type="dxa"/>
              <w:left w:w="72" w:type="dxa"/>
              <w:bottom w:w="72" w:type="dxa"/>
              <w:right w:w="72" w:type="dxa"/>
            </w:tcMar>
            <w:vAlign w:val="center"/>
          </w:tcPr>
          <w:p w14:paraId="2F5872EC" w14:textId="77777777" w:rsidR="0047276B" w:rsidRDefault="0047276B" w:rsidP="0047276B">
            <w:pPr>
              <w:rPr>
                <w:rFonts w:ascii="Arial" w:hAnsi="Arial" w:cs="Arial"/>
              </w:rPr>
            </w:pPr>
            <w:r w:rsidRPr="00F62C43">
              <w:rPr>
                <w:rFonts w:ascii="Arial" w:hAnsi="Arial" w:cs="Arial"/>
              </w:rPr>
              <w:t>The main climate types of the world and the similarities and differences between the climates of different places ACHASSK068</w:t>
            </w:r>
          </w:p>
          <w:p w14:paraId="285B6DDF" w14:textId="5D536AB1" w:rsidR="0047276B" w:rsidRPr="0047276B" w:rsidRDefault="0047276B" w:rsidP="0047276B">
            <w:pPr>
              <w:rPr>
                <w:rFonts w:ascii="Arial" w:hAnsi="Arial" w:cs="Arial"/>
              </w:rPr>
            </w:pPr>
            <w:r w:rsidRPr="00F62C43">
              <w:rPr>
                <w:rFonts w:ascii="Arial" w:hAnsi="Arial" w:cs="Arial"/>
              </w:rPr>
              <w:t>The similarities and differences between places in terms of their type of settlement, demographic characteristics and the lives of the people who live there, and people’s perceptions of these places ACHASSK069</w:t>
            </w:r>
          </w:p>
          <w:p w14:paraId="5692D48F" w14:textId="77777777" w:rsidR="0047276B" w:rsidRDefault="0047276B" w:rsidP="0047276B">
            <w:pPr>
              <w:rPr>
                <w:rFonts w:ascii="Arial" w:hAnsi="Arial" w:cs="Arial"/>
              </w:rPr>
            </w:pPr>
            <w:r w:rsidRPr="00F62C43">
              <w:rPr>
                <w:rFonts w:ascii="Arial" w:hAnsi="Arial" w:cs="Arial"/>
              </w:rPr>
              <w:t>The importance of environments, including natural vegetation, to animals and people ACHASSK088</w:t>
            </w:r>
          </w:p>
          <w:p w14:paraId="59F155E7" w14:textId="77777777" w:rsidR="0047276B" w:rsidRDefault="0047276B" w:rsidP="0047276B">
            <w:pPr>
              <w:rPr>
                <w:rFonts w:ascii="Arial" w:hAnsi="Arial" w:cs="Arial"/>
              </w:rPr>
            </w:pPr>
            <w:r w:rsidRPr="00F62C43">
              <w:rPr>
                <w:rFonts w:ascii="Arial" w:hAnsi="Arial" w:cs="Arial"/>
              </w:rPr>
              <w:t>The use and management of natural resources and waste, and the different views on how to do this sustainably ACHASSK090</w:t>
            </w:r>
          </w:p>
          <w:p w14:paraId="7C10643A" w14:textId="1DC87881" w:rsidR="001F2325" w:rsidRPr="002B4A77" w:rsidRDefault="001F2325" w:rsidP="002B4A77">
            <w:pPr>
              <w:spacing w:after="0"/>
              <w:rPr>
                <w:b/>
                <w:bCs/>
                <w:color w:val="FFFFFF" w:themeColor="background1"/>
              </w:rPr>
            </w:pPr>
          </w:p>
        </w:tc>
        <w:tc>
          <w:tcPr>
            <w:tcW w:w="2771" w:type="dxa"/>
            <w:shd w:val="clear" w:color="auto" w:fill="FFFFFF" w:themeFill="background1"/>
            <w:tcMar>
              <w:top w:w="72" w:type="dxa"/>
              <w:left w:w="72" w:type="dxa"/>
              <w:bottom w:w="72" w:type="dxa"/>
              <w:right w:w="72" w:type="dxa"/>
            </w:tcMar>
            <w:vAlign w:val="center"/>
          </w:tcPr>
          <w:p w14:paraId="31A0D4DA" w14:textId="77777777" w:rsidR="007B49DB" w:rsidRDefault="007B49DB" w:rsidP="007B49DB">
            <w:pPr>
              <w:rPr>
                <w:rFonts w:ascii="Arial" w:hAnsi="Arial" w:cs="Arial"/>
              </w:rPr>
            </w:pPr>
            <w:r w:rsidRPr="00F62C43">
              <w:rPr>
                <w:rFonts w:ascii="Arial" w:hAnsi="Arial" w:cs="Arial"/>
              </w:rPr>
              <w:t>The influence of people, including Aboriginal and Torres Strait Islander Peoples, on the environmental characteristics of Australian places </w:t>
            </w:r>
            <w:r w:rsidRPr="00C0389B">
              <w:rPr>
                <w:rFonts w:ascii="Arial" w:hAnsi="Arial" w:cs="Arial"/>
              </w:rPr>
              <w:t>ACHASSK113</w:t>
            </w:r>
          </w:p>
          <w:p w14:paraId="1A4B6506" w14:textId="7008832A" w:rsidR="007B49DB" w:rsidRPr="007B49DB" w:rsidRDefault="007B49DB" w:rsidP="007B49DB">
            <w:pPr>
              <w:rPr>
                <w:rFonts w:ascii="Arial" w:hAnsi="Arial" w:cs="Arial"/>
              </w:rPr>
            </w:pPr>
            <w:r w:rsidRPr="00C0389B">
              <w:rPr>
                <w:rFonts w:ascii="Arial" w:hAnsi="Arial" w:cs="Arial"/>
              </w:rPr>
              <w:t>The impact of bushfires or floods on environments and communities, and how people can respond ACHASSK114</w:t>
            </w:r>
          </w:p>
          <w:p w14:paraId="596F5DC3" w14:textId="77777777" w:rsidR="007B49DB" w:rsidRDefault="007B49DB" w:rsidP="007B49DB">
            <w:pPr>
              <w:rPr>
                <w:rFonts w:ascii="Arial" w:hAnsi="Arial" w:cs="Arial"/>
              </w:rPr>
            </w:pPr>
            <w:r w:rsidRPr="00C0389B">
              <w:rPr>
                <w:rFonts w:ascii="Arial" w:hAnsi="Arial" w:cs="Arial"/>
              </w:rPr>
              <w:t>Differences in the economic, demographic and social characteristics of countries across the world ACHASSK139</w:t>
            </w:r>
          </w:p>
          <w:p w14:paraId="206CF6BB" w14:textId="77777777" w:rsidR="007B49DB" w:rsidRDefault="007B49DB" w:rsidP="007B49DB">
            <w:pPr>
              <w:rPr>
                <w:rFonts w:ascii="Arial" w:hAnsi="Arial" w:cs="Arial"/>
              </w:rPr>
            </w:pPr>
            <w:r w:rsidRPr="00C0389B">
              <w:rPr>
                <w:rFonts w:ascii="Arial" w:hAnsi="Arial" w:cs="Arial"/>
              </w:rPr>
              <w:t>Australia’s connections with other countries and how these change people and places ACHASSK141</w:t>
            </w:r>
          </w:p>
          <w:p w14:paraId="1BE20D98" w14:textId="77777777" w:rsidR="001F2325" w:rsidRPr="002B4A77" w:rsidRDefault="001F2325" w:rsidP="002B4A77">
            <w:pPr>
              <w:spacing w:after="0"/>
              <w:rPr>
                <w:b/>
                <w:bCs/>
                <w:color w:val="FFFFFF" w:themeColor="background1"/>
              </w:rPr>
            </w:pPr>
          </w:p>
        </w:tc>
      </w:tr>
      <w:tr w:rsidR="0012201E" w:rsidRPr="002B4A77" w14:paraId="08D625E0" w14:textId="77777777" w:rsidTr="0012201E">
        <w:trPr>
          <w:trHeight w:val="1440"/>
        </w:trPr>
        <w:tc>
          <w:tcPr>
            <w:tcW w:w="2405" w:type="dxa"/>
            <w:shd w:val="clear" w:color="auto" w:fill="FFFFFF" w:themeFill="background1"/>
            <w:tcMar>
              <w:top w:w="72" w:type="dxa"/>
              <w:left w:w="144" w:type="dxa"/>
              <w:bottom w:w="72" w:type="dxa"/>
              <w:right w:w="144" w:type="dxa"/>
            </w:tcMar>
            <w:vAlign w:val="center"/>
          </w:tcPr>
          <w:p w14:paraId="4A24BA43" w14:textId="2ABCD508" w:rsidR="005E6E37" w:rsidRPr="00644E13" w:rsidRDefault="005E6E37" w:rsidP="005E6E37">
            <w:pPr>
              <w:rPr>
                <w:rFonts w:ascii="Arial" w:hAnsi="Arial" w:cs="Arial"/>
                <w:b/>
                <w:bCs/>
              </w:rPr>
            </w:pPr>
          </w:p>
          <w:p w14:paraId="1742239C" w14:textId="2E70864C" w:rsidR="005E6E37" w:rsidRPr="0012201E" w:rsidRDefault="007B49DB" w:rsidP="0012201E">
            <w:pPr>
              <w:pStyle w:val="TaskTitle"/>
              <w:jc w:val="center"/>
              <w:rPr>
                <w:color w:val="auto"/>
                <w:sz w:val="48"/>
                <w:szCs w:val="48"/>
              </w:rPr>
            </w:pPr>
            <w:r w:rsidRPr="0012201E">
              <w:rPr>
                <w:color w:val="auto"/>
                <w:sz w:val="48"/>
                <w:szCs w:val="48"/>
              </w:rPr>
              <w:t>Design and Technologies</w:t>
            </w:r>
          </w:p>
          <w:p w14:paraId="7D584309" w14:textId="7A67F589" w:rsidR="005E6E37" w:rsidRPr="005E6E37" w:rsidRDefault="005E6E37" w:rsidP="005E6E37">
            <w:pPr>
              <w:rPr>
                <w:b/>
                <w:bCs/>
                <w:sz w:val="36"/>
                <w:szCs w:val="36"/>
              </w:rPr>
            </w:pPr>
          </w:p>
        </w:tc>
        <w:tc>
          <w:tcPr>
            <w:tcW w:w="2693" w:type="dxa"/>
            <w:tcBorders>
              <w:right w:val="single" w:sz="4" w:space="0" w:color="auto"/>
            </w:tcBorders>
            <w:shd w:val="clear" w:color="auto" w:fill="FFFFFF" w:themeFill="background1"/>
            <w:tcMar>
              <w:top w:w="72" w:type="dxa"/>
              <w:left w:w="72" w:type="dxa"/>
              <w:bottom w:w="72" w:type="dxa"/>
              <w:right w:w="72" w:type="dxa"/>
            </w:tcMar>
            <w:vAlign w:val="center"/>
          </w:tcPr>
          <w:p w14:paraId="60CA4060" w14:textId="77777777" w:rsidR="007B49DB" w:rsidRDefault="007B49DB" w:rsidP="007B49DB">
            <w:pPr>
              <w:rPr>
                <w:rFonts w:ascii="Arial" w:hAnsi="Arial" w:cs="Arial"/>
              </w:rPr>
            </w:pPr>
            <w:r w:rsidRPr="00C0389B">
              <w:rPr>
                <w:rFonts w:ascii="Arial" w:hAnsi="Arial" w:cs="Arial"/>
              </w:rPr>
              <w:t>Identify how people design and produce familiar products, services and environments and consider sustainability to meet personal and local community needs ACTDEK001</w:t>
            </w:r>
          </w:p>
          <w:p w14:paraId="4A14972A" w14:textId="77777777" w:rsidR="007B49DB" w:rsidRPr="00942013" w:rsidRDefault="007B49DB" w:rsidP="007B49DB">
            <w:pPr>
              <w:rPr>
                <w:rFonts w:ascii="Arial" w:hAnsi="Arial" w:cs="Arial"/>
              </w:rPr>
            </w:pPr>
            <w:r w:rsidRPr="00C0389B">
              <w:rPr>
                <w:rFonts w:ascii="Arial" w:hAnsi="Arial" w:cs="Arial"/>
              </w:rPr>
              <w:t xml:space="preserve">Explore how plants and animals are grown for food, clothing and shelter </w:t>
            </w:r>
            <w:r w:rsidRPr="00C0389B">
              <w:rPr>
                <w:rFonts w:ascii="Arial" w:hAnsi="Arial" w:cs="Arial"/>
              </w:rPr>
              <w:lastRenderedPageBreak/>
              <w:t>and how food is selected and prepared for healthy eating ACTDEK003</w:t>
            </w:r>
          </w:p>
          <w:p w14:paraId="3E10B112" w14:textId="77777777" w:rsidR="001F2325" w:rsidRPr="002B4A77" w:rsidRDefault="001F2325" w:rsidP="002B4A77">
            <w:pPr>
              <w:spacing w:after="0"/>
              <w:rPr>
                <w:b/>
                <w:bCs/>
                <w:color w:val="FFFFFF" w:themeColor="background1"/>
              </w:rPr>
            </w:pPr>
          </w:p>
        </w:tc>
        <w:tc>
          <w:tcPr>
            <w:tcW w:w="3544" w:type="dxa"/>
            <w:tcBorders>
              <w:left w:val="single" w:sz="4" w:space="0" w:color="auto"/>
            </w:tcBorders>
            <w:shd w:val="clear" w:color="auto" w:fill="FFFFFF" w:themeFill="background1"/>
            <w:vAlign w:val="center"/>
          </w:tcPr>
          <w:p w14:paraId="03B480AD" w14:textId="77777777" w:rsidR="007B49DB" w:rsidRDefault="007B49DB" w:rsidP="007B49DB">
            <w:pPr>
              <w:rPr>
                <w:rFonts w:ascii="Arial" w:hAnsi="Arial" w:cs="Arial"/>
              </w:rPr>
            </w:pPr>
            <w:r w:rsidRPr="00C0389B">
              <w:rPr>
                <w:rFonts w:ascii="Arial" w:hAnsi="Arial" w:cs="Arial"/>
              </w:rPr>
              <w:lastRenderedPageBreak/>
              <w:t>Identify how people design and produce familiar products, services and environments and consider sustainability to meet personal and local community needs ACTDEK001</w:t>
            </w:r>
          </w:p>
          <w:p w14:paraId="3EB9250B" w14:textId="77777777" w:rsidR="007B49DB" w:rsidRPr="00942013" w:rsidRDefault="007B49DB" w:rsidP="007B49DB">
            <w:pPr>
              <w:rPr>
                <w:rFonts w:ascii="Arial" w:hAnsi="Arial" w:cs="Arial"/>
              </w:rPr>
            </w:pPr>
            <w:r w:rsidRPr="00C0389B">
              <w:rPr>
                <w:rFonts w:ascii="Arial" w:hAnsi="Arial" w:cs="Arial"/>
              </w:rPr>
              <w:t xml:space="preserve">Explore how plants and animals are grown for food, clothing and shelter and how food is selected and </w:t>
            </w:r>
            <w:r w:rsidRPr="00C0389B">
              <w:rPr>
                <w:rFonts w:ascii="Arial" w:hAnsi="Arial" w:cs="Arial"/>
              </w:rPr>
              <w:lastRenderedPageBreak/>
              <w:t>prepared for healthy eating ACTDEK003</w:t>
            </w:r>
          </w:p>
          <w:p w14:paraId="4B665C9F" w14:textId="77777777" w:rsidR="001F2325" w:rsidRPr="002B4A77" w:rsidRDefault="001F2325" w:rsidP="002B4A77">
            <w:pPr>
              <w:spacing w:after="0"/>
              <w:rPr>
                <w:b/>
                <w:bCs/>
                <w:color w:val="FFFFFF" w:themeColor="background1"/>
              </w:rPr>
            </w:pPr>
          </w:p>
        </w:tc>
        <w:tc>
          <w:tcPr>
            <w:tcW w:w="2977" w:type="dxa"/>
            <w:shd w:val="clear" w:color="auto" w:fill="FFFFFF" w:themeFill="background1"/>
            <w:tcMar>
              <w:top w:w="72" w:type="dxa"/>
              <w:left w:w="72" w:type="dxa"/>
              <w:bottom w:w="72" w:type="dxa"/>
              <w:right w:w="72" w:type="dxa"/>
            </w:tcMar>
            <w:vAlign w:val="center"/>
          </w:tcPr>
          <w:p w14:paraId="1A5DD5DB" w14:textId="77777777" w:rsidR="007B49DB" w:rsidRDefault="007B49DB" w:rsidP="007B49DB">
            <w:pPr>
              <w:rPr>
                <w:rFonts w:ascii="Arial" w:hAnsi="Arial" w:cs="Arial"/>
              </w:rPr>
            </w:pPr>
            <w:proofErr w:type="spellStart"/>
            <w:r w:rsidRPr="00C0389B">
              <w:rPr>
                <w:rFonts w:ascii="Arial" w:hAnsi="Arial" w:cs="Arial"/>
              </w:rPr>
              <w:lastRenderedPageBreak/>
              <w:t>Recognise</w:t>
            </w:r>
            <w:proofErr w:type="spellEnd"/>
            <w:r w:rsidRPr="00C0389B">
              <w:rPr>
                <w:rFonts w:ascii="Arial" w:hAnsi="Arial" w:cs="Arial"/>
              </w:rPr>
              <w:t xml:space="preserve"> the role of people in design and technologies occupations and explore factors, including sustainability that impact on the design of products, services and environments to meet community needs ACTDEK010</w:t>
            </w:r>
          </w:p>
          <w:p w14:paraId="1CE1E224" w14:textId="77777777" w:rsidR="007B49DB" w:rsidRDefault="007B49DB" w:rsidP="007B49DB">
            <w:pPr>
              <w:rPr>
                <w:rFonts w:ascii="Arial" w:hAnsi="Arial" w:cs="Arial"/>
              </w:rPr>
            </w:pPr>
            <w:r w:rsidRPr="00C0389B">
              <w:rPr>
                <w:rFonts w:ascii="Arial" w:hAnsi="Arial" w:cs="Arial"/>
              </w:rPr>
              <w:t xml:space="preserve">Investigate food and fibre production and food </w:t>
            </w:r>
            <w:r w:rsidRPr="00C0389B">
              <w:rPr>
                <w:rFonts w:ascii="Arial" w:hAnsi="Arial" w:cs="Arial"/>
              </w:rPr>
              <w:lastRenderedPageBreak/>
              <w:t>technologies used in modern and traditional societies ACTDEK012</w:t>
            </w:r>
          </w:p>
          <w:p w14:paraId="2165E2AC" w14:textId="525CC109" w:rsidR="001F2325" w:rsidRPr="002B4A77" w:rsidRDefault="001F2325" w:rsidP="002B4A77">
            <w:pPr>
              <w:spacing w:after="0"/>
              <w:rPr>
                <w:b/>
                <w:bCs/>
                <w:color w:val="FFFFFF" w:themeColor="background1"/>
              </w:rPr>
            </w:pPr>
          </w:p>
        </w:tc>
        <w:tc>
          <w:tcPr>
            <w:tcW w:w="2771" w:type="dxa"/>
            <w:shd w:val="clear" w:color="auto" w:fill="FFFFFF" w:themeFill="background1"/>
            <w:tcMar>
              <w:top w:w="72" w:type="dxa"/>
              <w:left w:w="72" w:type="dxa"/>
              <w:bottom w:w="72" w:type="dxa"/>
              <w:right w:w="72" w:type="dxa"/>
            </w:tcMar>
            <w:vAlign w:val="center"/>
          </w:tcPr>
          <w:p w14:paraId="6DC4F033" w14:textId="77777777" w:rsidR="007B49DB" w:rsidRDefault="007B49DB" w:rsidP="007B49DB">
            <w:pPr>
              <w:rPr>
                <w:rFonts w:ascii="Arial" w:hAnsi="Arial" w:cs="Arial"/>
              </w:rPr>
            </w:pPr>
            <w:r w:rsidRPr="0016351A">
              <w:rPr>
                <w:rFonts w:ascii="Arial" w:hAnsi="Arial" w:cs="Arial"/>
              </w:rPr>
              <w:lastRenderedPageBreak/>
              <w:t>Examine how people in design and technologies occupations address competing considerations, including sustainability in the design of products, services, and environments for current and future use ACTDEK019</w:t>
            </w:r>
          </w:p>
          <w:p w14:paraId="373FC718" w14:textId="77777777" w:rsidR="007B49DB" w:rsidRPr="00942013" w:rsidRDefault="007B49DB" w:rsidP="007B49DB">
            <w:pPr>
              <w:rPr>
                <w:rFonts w:ascii="Arial" w:hAnsi="Arial" w:cs="Arial"/>
              </w:rPr>
            </w:pPr>
            <w:r w:rsidRPr="00C0389B">
              <w:rPr>
                <w:rFonts w:ascii="Arial" w:hAnsi="Arial" w:cs="Arial"/>
              </w:rPr>
              <w:lastRenderedPageBreak/>
              <w:t>Investigate how and why food and fibre are produced in managed environments and prepared to enable people to grow and be healthy ACTDEK021</w:t>
            </w:r>
          </w:p>
          <w:p w14:paraId="5CB59FDF" w14:textId="77777777" w:rsidR="001F2325" w:rsidRPr="002B4A77" w:rsidRDefault="001F2325" w:rsidP="002B4A77">
            <w:pPr>
              <w:spacing w:after="0"/>
              <w:rPr>
                <w:b/>
                <w:bCs/>
                <w:color w:val="FFFFFF" w:themeColor="background1"/>
              </w:rPr>
            </w:pPr>
          </w:p>
        </w:tc>
      </w:tr>
    </w:tbl>
    <w:p w14:paraId="75F4D137" w14:textId="53CA3660" w:rsidR="002B4A77" w:rsidRDefault="002B4A77">
      <w:pPr>
        <w:rPr>
          <w:u w:val="single"/>
        </w:rPr>
      </w:pPr>
    </w:p>
    <w:sectPr w:rsidR="002B4A77" w:rsidSect="002B4A7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7DB7" w14:textId="77777777" w:rsidR="00ED6A6C" w:rsidRDefault="00ED6A6C" w:rsidP="009109E1">
      <w:pPr>
        <w:spacing w:after="0" w:line="240" w:lineRule="auto"/>
      </w:pPr>
      <w:r>
        <w:separator/>
      </w:r>
    </w:p>
  </w:endnote>
  <w:endnote w:type="continuationSeparator" w:id="0">
    <w:p w14:paraId="76872EDD" w14:textId="77777777" w:rsidR="00ED6A6C" w:rsidRDefault="00ED6A6C" w:rsidP="0091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 Hand">
    <w:charset w:val="00"/>
    <w:family w:val="script"/>
    <w:pitch w:val="variable"/>
    <w:sig w:usb0="8000002F" w:usb1="0000000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he Serif Hand">
    <w:charset w:val="00"/>
    <w:family w:val="script"/>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4A09" w14:textId="77777777" w:rsidR="00ED6A6C" w:rsidRDefault="00ED6A6C" w:rsidP="009109E1">
      <w:pPr>
        <w:spacing w:after="0" w:line="240" w:lineRule="auto"/>
      </w:pPr>
      <w:r>
        <w:separator/>
      </w:r>
    </w:p>
  </w:footnote>
  <w:footnote w:type="continuationSeparator" w:id="0">
    <w:p w14:paraId="501FF2BD" w14:textId="77777777" w:rsidR="00ED6A6C" w:rsidRDefault="00ED6A6C" w:rsidP="00910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DQ1MLEwNjEysTBT0lEKTi0uzszPAykwqQUA0dSXXSwAAAA="/>
  </w:docVars>
  <w:rsids>
    <w:rsidRoot w:val="001F2325"/>
    <w:rsid w:val="00103FE4"/>
    <w:rsid w:val="0012201E"/>
    <w:rsid w:val="001F2325"/>
    <w:rsid w:val="0023353A"/>
    <w:rsid w:val="002A4CC7"/>
    <w:rsid w:val="002B4A77"/>
    <w:rsid w:val="002F632D"/>
    <w:rsid w:val="00307C7D"/>
    <w:rsid w:val="00315C90"/>
    <w:rsid w:val="003C2B31"/>
    <w:rsid w:val="0047276B"/>
    <w:rsid w:val="004830C0"/>
    <w:rsid w:val="005921BA"/>
    <w:rsid w:val="005A20B8"/>
    <w:rsid w:val="005A7660"/>
    <w:rsid w:val="005B2350"/>
    <w:rsid w:val="005E6E37"/>
    <w:rsid w:val="006D16B9"/>
    <w:rsid w:val="00746B7F"/>
    <w:rsid w:val="007838FF"/>
    <w:rsid w:val="007B49DB"/>
    <w:rsid w:val="008249DE"/>
    <w:rsid w:val="00887CF9"/>
    <w:rsid w:val="008A6C17"/>
    <w:rsid w:val="0090310F"/>
    <w:rsid w:val="009109E1"/>
    <w:rsid w:val="009C31D2"/>
    <w:rsid w:val="009C375C"/>
    <w:rsid w:val="00A33747"/>
    <w:rsid w:val="00A5799B"/>
    <w:rsid w:val="00AA16D0"/>
    <w:rsid w:val="00AD3573"/>
    <w:rsid w:val="00B724D5"/>
    <w:rsid w:val="00CA4D71"/>
    <w:rsid w:val="00CD28E8"/>
    <w:rsid w:val="00D042F1"/>
    <w:rsid w:val="00D57FAD"/>
    <w:rsid w:val="00D765C9"/>
    <w:rsid w:val="00D93D19"/>
    <w:rsid w:val="00DB0DDE"/>
    <w:rsid w:val="00DF397E"/>
    <w:rsid w:val="00E01A54"/>
    <w:rsid w:val="00E07C49"/>
    <w:rsid w:val="00E7687C"/>
    <w:rsid w:val="00ED6A6C"/>
    <w:rsid w:val="00F534F2"/>
    <w:rsid w:val="00F93C40"/>
    <w:rsid w:val="00FB5D99"/>
    <w:rsid w:val="00FF2EFB"/>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E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747"/>
  </w:style>
  <w:style w:type="paragraph" w:styleId="Footer">
    <w:name w:val="footer"/>
    <w:basedOn w:val="Normal"/>
    <w:link w:val="FooterChar"/>
    <w:uiPriority w:val="99"/>
    <w:semiHidden/>
    <w:rsid w:val="0091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747"/>
  </w:style>
  <w:style w:type="character" w:styleId="PlaceholderText">
    <w:name w:val="Placeholder Text"/>
    <w:basedOn w:val="DefaultParagraphFont"/>
    <w:uiPriority w:val="99"/>
    <w:semiHidden/>
    <w:rsid w:val="009C31D2"/>
    <w:rPr>
      <w:color w:val="808080"/>
    </w:rPr>
  </w:style>
  <w:style w:type="paragraph" w:styleId="Title">
    <w:name w:val="Title"/>
    <w:basedOn w:val="Normal"/>
    <w:next w:val="Normal"/>
    <w:link w:val="TitleChar"/>
    <w:uiPriority w:val="10"/>
    <w:qFormat/>
    <w:rsid w:val="009C31D2"/>
    <w:pPr>
      <w:spacing w:after="0"/>
    </w:pPr>
    <w:rPr>
      <w:rFonts w:ascii="The Serif Hand" w:hAnsi="The Serif Hand"/>
      <w:b/>
      <w:bCs/>
      <w:color w:val="000000" w:themeColor="text1"/>
      <w:kern w:val="24"/>
      <w:sz w:val="36"/>
      <w:szCs w:val="36"/>
    </w:rPr>
  </w:style>
  <w:style w:type="character" w:customStyle="1" w:styleId="TitleChar">
    <w:name w:val="Title Char"/>
    <w:basedOn w:val="DefaultParagraphFont"/>
    <w:link w:val="Title"/>
    <w:uiPriority w:val="10"/>
    <w:rsid w:val="009C31D2"/>
    <w:rPr>
      <w:rFonts w:ascii="The Serif Hand" w:hAnsi="The Serif Hand"/>
      <w:b/>
      <w:bCs/>
      <w:color w:val="000000" w:themeColor="text1"/>
      <w:kern w:val="24"/>
      <w:sz w:val="36"/>
      <w:szCs w:val="36"/>
    </w:rPr>
  </w:style>
  <w:style w:type="paragraph" w:customStyle="1" w:styleId="WeekDays">
    <w:name w:val="Week Days"/>
    <w:basedOn w:val="Normal"/>
    <w:qFormat/>
    <w:rsid w:val="009C31D2"/>
    <w:pPr>
      <w:spacing w:after="0" w:line="240" w:lineRule="auto"/>
      <w:jc w:val="center"/>
    </w:pPr>
    <w:rPr>
      <w:b/>
      <w:bCs/>
      <w:color w:val="FFFFFF" w:themeColor="background1"/>
      <w:sz w:val="36"/>
      <w:szCs w:val="36"/>
    </w:rPr>
  </w:style>
  <w:style w:type="paragraph" w:customStyle="1" w:styleId="TaskTitle">
    <w:name w:val="Task Title"/>
    <w:basedOn w:val="Normal"/>
    <w:qFormat/>
    <w:rsid w:val="009C31D2"/>
    <w:pPr>
      <w:spacing w:after="0" w:line="240" w:lineRule="auto"/>
    </w:pPr>
    <w:rPr>
      <w:b/>
      <w:bCs/>
      <w:color w:val="FFFFFF" w:themeColor="background1"/>
      <w:sz w:val="36"/>
      <w:szCs w:val="36"/>
    </w:rPr>
  </w:style>
  <w:style w:type="table" w:styleId="TableGrid">
    <w:name w:val="Table Grid"/>
    <w:basedOn w:val="TableNormal"/>
    <w:uiPriority w:val="39"/>
    <w:rsid w:val="009C3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2930">
      <w:bodyDiv w:val="1"/>
      <w:marLeft w:val="0"/>
      <w:marRight w:val="0"/>
      <w:marTop w:val="0"/>
      <w:marBottom w:val="0"/>
      <w:divBdr>
        <w:top w:val="none" w:sz="0" w:space="0" w:color="auto"/>
        <w:left w:val="none" w:sz="0" w:space="0" w:color="auto"/>
        <w:bottom w:val="none" w:sz="0" w:space="0" w:color="auto"/>
        <w:right w:val="none" w:sz="0" w:space="0" w:color="auto"/>
      </w:divBdr>
    </w:div>
    <w:div w:id="1476098050">
      <w:bodyDiv w:val="1"/>
      <w:marLeft w:val="0"/>
      <w:marRight w:val="0"/>
      <w:marTop w:val="0"/>
      <w:marBottom w:val="0"/>
      <w:divBdr>
        <w:top w:val="none" w:sz="0" w:space="0" w:color="auto"/>
        <w:left w:val="none" w:sz="0" w:space="0" w:color="auto"/>
        <w:bottom w:val="none" w:sz="0" w:space="0" w:color="auto"/>
        <w:right w:val="none" w:sz="0" w:space="0" w:color="auto"/>
      </w:divBdr>
    </w:div>
    <w:div w:id="2051958716">
      <w:bodyDiv w:val="1"/>
      <w:marLeft w:val="0"/>
      <w:marRight w:val="0"/>
      <w:marTop w:val="0"/>
      <w:marBottom w:val="0"/>
      <w:divBdr>
        <w:top w:val="none" w:sz="0" w:space="0" w:color="auto"/>
        <w:left w:val="none" w:sz="0" w:space="0" w:color="auto"/>
        <w:bottom w:val="none" w:sz="0" w:space="0" w:color="auto"/>
        <w:right w:val="none" w:sz="0" w:space="0" w:color="auto"/>
      </w:divBdr>
    </w:div>
    <w:div w:id="20585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otle.edu.au/ec/search?accContentId=ACSSU0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otle.edu.au/ec/search?accContentId=ACSHE0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tle.edu.au/ec/search?accContentId=ACSHE03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otle.edu.au/ec/search?accContentId=ACSHE02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_\AppData\Roaming\Microsoft\Templates\Task%20and%20goal%20reward%20chart.dotx" TargetMode="External"/></Relationships>
</file>

<file path=word/theme/theme1.xml><?xml version="1.0" encoding="utf-8"?>
<a:theme xmlns:a="http://schemas.openxmlformats.org/drawingml/2006/main" name="Reward Chart">
  <a:themeElements>
    <a:clrScheme name="GreetingCards_ThankYou">
      <a:dk1>
        <a:sysClr val="windowText" lastClr="000000"/>
      </a:dk1>
      <a:lt1>
        <a:sysClr val="window" lastClr="FFFFFF"/>
      </a:lt1>
      <a:dk2>
        <a:srgbClr val="44546A"/>
      </a:dk2>
      <a:lt2>
        <a:srgbClr val="E7E6E6"/>
      </a:lt2>
      <a:accent1>
        <a:srgbClr val="DB1A5E"/>
      </a:accent1>
      <a:accent2>
        <a:srgbClr val="8E0334"/>
      </a:accent2>
      <a:accent3>
        <a:srgbClr val="F2EA14"/>
      </a:accent3>
      <a:accent4>
        <a:srgbClr val="E1D231"/>
      </a:accent4>
      <a:accent5>
        <a:srgbClr val="0387A8"/>
      </a:accent5>
      <a:accent6>
        <a:srgbClr val="0A7493"/>
      </a:accent6>
      <a:hlink>
        <a:srgbClr val="0563C1"/>
      </a:hlink>
      <a:folHlink>
        <a:srgbClr val="954F72"/>
      </a:folHlink>
    </a:clrScheme>
    <a:fontScheme name="Custom 310">
      <a:majorFont>
        <a:latin typeface="The Serif Hand"/>
        <a:ea typeface=""/>
        <a:cs typeface=""/>
      </a:majorFont>
      <a:minorFont>
        <a:latin typeface="The Hand"/>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ward Chart" id="{DE2E71AA-B357-4468-8196-E738779D2B99}" vid="{92F8D2DE-C0A5-402B-82E7-3D71F822A4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D3B9-33AB-453C-8340-F220B5F60A58}">
  <ds:schemaRefs>
    <ds:schemaRef ds:uri="http://schemas.microsoft.com/sharepoint/v3/contenttype/forms"/>
  </ds:schemaRefs>
</ds:datastoreItem>
</file>

<file path=customXml/itemProps2.xml><?xml version="1.0" encoding="utf-8"?>
<ds:datastoreItem xmlns:ds="http://schemas.openxmlformats.org/officeDocument/2006/customXml" ds:itemID="{162BD129-5FD4-422A-BE25-C823E77FB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64FD3-C606-4D6C-BA0B-B08F80CDC36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16428B3-3702-4AA7-A1CF-1770B252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 and goal reward chart</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2020-07-28T03:35:00Z</dcterms:created>
  <dcterms:modified xsi:type="dcterms:W3CDTF">2020-07-28T03:59:00Z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